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إشعار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قانوني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b w:val="1"/>
          <w:bCs w:val="1"/>
          <w:sz w:val="26"/>
          <w:szCs w:val="26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www.sisley-paris.com/ar-SA</w:t>
        </w:r>
      </w:hyperlink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/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التحديث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مايو</w:t>
      </w:r>
      <w:r w:rsidDel="00000000" w:rsidR="00000000" w:rsidRPr="00000000">
        <w:rPr>
          <w:sz w:val="26"/>
          <w:szCs w:val="26"/>
          <w:rtl w:val="1"/>
        </w:rPr>
        <w:t xml:space="preserve"> 2022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www.sisley-paris.com/ar-SA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("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") </w:t>
      </w:r>
      <w:r w:rsidDel="00000000" w:rsidR="00000000" w:rsidRPr="00000000">
        <w:rPr>
          <w:sz w:val="26"/>
          <w:szCs w:val="26"/>
          <w:rtl w:val="1"/>
        </w:rPr>
        <w:t xml:space="preserve">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تابع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أورينت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م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مسجلة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DAFZ</w:t>
      </w:r>
      <w:r w:rsidDel="00000000" w:rsidR="00000000" w:rsidRPr="00000000">
        <w:rPr>
          <w:sz w:val="26"/>
          <w:szCs w:val="26"/>
          <w:rtl w:val="1"/>
        </w:rPr>
        <w:t xml:space="preserve">\1113 </w:t>
      </w:r>
      <w:r w:rsidDel="00000000" w:rsidR="00000000" w:rsidRPr="00000000">
        <w:rPr>
          <w:sz w:val="26"/>
          <w:szCs w:val="26"/>
          <w:rtl w:val="1"/>
        </w:rPr>
        <w:t xml:space="preserve">ويقع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1"/>
        </w:rPr>
        <w:t xml:space="preserve">2 504  </w:t>
      </w:r>
      <w:r w:rsidDel="00000000" w:rsidR="00000000" w:rsidRPr="00000000">
        <w:rPr>
          <w:sz w:val="26"/>
          <w:szCs w:val="26"/>
          <w:rtl w:val="1"/>
        </w:rPr>
        <w:t xml:space="preserve">كوميرسيتي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  ،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rtl w:val="1"/>
        </w:rPr>
        <w:t xml:space="preserve">، 293652 </w:t>
      </w:r>
      <w:r w:rsidDel="00000000" w:rsidR="00000000" w:rsidRPr="00000000">
        <w:rPr>
          <w:sz w:val="26"/>
          <w:szCs w:val="26"/>
          <w:rtl w:val="1"/>
        </w:rPr>
        <w:t xml:space="preserve">وتحمل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ضريبة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القيمة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المضافة</w:t>
      </w:r>
      <w:r w:rsidDel="00000000" w:rsidR="00000000" w:rsidRPr="00000000">
        <w:rPr>
          <w:sz w:val="26"/>
          <w:szCs w:val="26"/>
          <w:rtl w:val="1"/>
        </w:rPr>
        <w:t xml:space="preserve"> 100238950800003 (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").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xlwm2ct5ejy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المسؤولة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استضافة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SALESFORCE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EMEA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LIMITED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ومسجلة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إنجلترا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وويلز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ويقع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مقرها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المسجل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الطابق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سيلز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فورس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- 110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بيشوبسجيت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لندن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00 76 47 31 20 44+.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تحتفظ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المرخصين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بملكية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تجارية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وأسماء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تجارية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وحقوق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حظر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تماما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للموقع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يتعدى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بشركة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لنشر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تعديله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إنتاجه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كليا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جزئيا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الأشكال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يحظر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إدراج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روابط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تشعبي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كليا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جزئيا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خطية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مسبقة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left="27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إف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بي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المسجلة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الأصول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حظر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التعدي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حقوق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الصناعية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والفكرية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left="27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ترفض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الصعوبات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القائمة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فشل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الاتصالات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left="27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left="27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ستبذل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قصارى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جهدها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لضمان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موثوقية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ودقتها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وتحديثها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left="27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left="27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تصحيح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المستندات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المنشورة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إشعار</w:t>
      </w:r>
      <w:r w:rsidDel="00000000" w:rsidR="00000000" w:rsidRPr="00000000">
        <w:rPr>
          <w:sz w:val="26"/>
          <w:szCs w:val="26"/>
          <w:rtl w:val="1"/>
        </w:rPr>
        <w:t xml:space="preserve">..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left="270" w:firstLine="0"/>
        <w:jc w:val="both"/>
        <w:rPr/>
      </w:pP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الإشعار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باللغتين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والعربية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تضارب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يعتد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ويعتبر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تلقائيا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ليتوافق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قرأ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الإشعار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الإشعار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إبرامه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إكراه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لغة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الإشعار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rial Narrow" w:cs="Arial Narrow" w:eastAsia="Arial Narrow" w:hAnsi="Arial Narrow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3600" w:hanging="720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4320" w:hanging="720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063679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063679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063679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C93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 w:val="1"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86C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86C5A"/>
    <w:rPr>
      <w:rFonts w:ascii="Tahoma" w:cs="Tahoma" w:hAnsi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 w:val="1"/>
    <w:rsid w:val="0060100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601006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601006"/>
    <w:rPr>
      <w:b w:val="1"/>
      <w:bCs w:val="1"/>
      <w:sz w:val="20"/>
      <w:szCs w:val="20"/>
    </w:rPr>
  </w:style>
  <w:style w:type="character" w:styleId="Titre1Car" w:customStyle="1">
    <w:name w:val="Titre 1 Car"/>
    <w:basedOn w:val="Policepardfaut"/>
    <w:link w:val="Titre1"/>
    <w:uiPriority w:val="9"/>
    <w:rsid w:val="00063679"/>
    <w:rPr>
      <w:rFonts w:ascii="Arial Narrow" w:hAnsi="Arial Narrow"/>
      <w:b w:val="1"/>
      <w:sz w:val="18"/>
      <w:szCs w:val="20"/>
      <w:lang w:eastAsia="fr-FR" w:val="en-GB"/>
    </w:rPr>
  </w:style>
  <w:style w:type="character" w:styleId="Titre2Car" w:customStyle="1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eastAsia="fr-FR" w:val="en-GB"/>
    </w:rPr>
  </w:style>
  <w:style w:type="character" w:styleId="Titre3Car" w:customStyle="1">
    <w:name w:val="Titre 3 Car"/>
    <w:basedOn w:val="Policepardfaut"/>
    <w:link w:val="Titre3"/>
    <w:uiPriority w:val="9"/>
    <w:rsid w:val="00063679"/>
    <w:rPr>
      <w:rFonts w:ascii="Arial Narrow" w:hAnsi="Arial Narrow"/>
      <w:i w:val="1"/>
      <w:sz w:val="18"/>
      <w:szCs w:val="18"/>
      <w:lang w:eastAsia="fr-FR" w:val="en-GB"/>
    </w:rPr>
  </w:style>
  <w:style w:type="character" w:styleId="Titre5Car" w:customStyle="1">
    <w:name w:val="Titre 5 Car"/>
    <w:basedOn w:val="Policepardfaut"/>
    <w:link w:val="Titre5"/>
    <w:uiPriority w:val="9"/>
    <w:rsid w:val="00063679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GB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GB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063679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paragraph" w:styleId="Paragraphedeliste">
    <w:name w:val="List Paragraph"/>
    <w:basedOn w:val="Normal"/>
    <w:uiPriority w:val="34"/>
    <w:qFormat w:val="1"/>
    <w:rsid w:val="00F404C5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n-US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3943EC"/>
    <w:rPr>
      <w:color w:val="605e5c"/>
      <w:shd w:color="auto" w:fill="e1dfdd" w:val="clear"/>
    </w:rPr>
  </w:style>
  <w:style w:type="paragraph" w:styleId="Rvision">
    <w:name w:val="Revision"/>
    <w:hidden w:val="1"/>
    <w:uiPriority w:val="99"/>
    <w:semiHidden w:val="1"/>
    <w:rsid w:val="006508A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ar-SA" TargetMode="External"/><Relationship Id="rId8" Type="http://schemas.openxmlformats.org/officeDocument/2006/relationships/hyperlink" Target="http://www.sisley-paris.com/ar-S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a1NOAv0UxYSyjshq17iz615hA==">CgMxLjAyDmguZHhsd20yY3Q1ZWp5OAByITFkRXgxdG5pYlM0dy1ydVQtU2YtMlVZM21Sb2x6anFlWA==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2022-05-18T08:55:00Z</dcterms:created>
  <dc:creator>Florence Rivat</dc:creator>
</cp:coreProperties>
</file>