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Courier New" w:cs="Courier New" w:eastAsia="Courier New" w:hAnsi="Courier New"/>
          <w:b w:val="0"/>
          <w:bCs w:val="0"/>
          <w:i w:val="1"/>
          <w:iCs w:val="1"/>
          <w:smallCaps w:val="0"/>
          <w:strike w:val="0"/>
          <w:color w:val="222222"/>
          <w:sz w:val="18"/>
          <w:szCs w:val="18"/>
          <w:u w:val="none"/>
          <w:shd w:fill="auto" w:val="clear"/>
          <w:vertAlign w:val="baseline"/>
        </w:rPr>
      </w:pPr>
      <w:bookmarkStart w:colFirst="0" w:colLast="0" w:name="_heading=h.bt5be38mgl4h" w:id="0"/>
      <w:bookmarkEnd w:id="0"/>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TERMOS E CONDIÇÕES GERAIS DO PROGRAMA DE FIDELIDADE MY SISLEY CLUB</w:t>
      </w: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b w:val="1"/>
          <w:bCs w:val="1"/>
          <w:sz w:val="24"/>
          <w:szCs w:val="24"/>
        </w:rPr>
      </w:pPr>
      <w:hyperlink r:id="rId7">
        <w:r w:rsidDel="00000000" w:rsidR="00000000" w:rsidRPr="00000000">
          <w:rPr>
            <w:rFonts w:ascii="Arial Narrow" w:cs="Arial Narrow" w:eastAsia="Arial Narrow" w:hAnsi="Arial Narrow"/>
            <w:color w:val="1155cc"/>
            <w:sz w:val="18"/>
            <w:szCs w:val="18"/>
            <w:u w:val="single"/>
            <w:rtl w:val="0"/>
          </w:rPr>
          <w:t xml:space="preserve">www.sisley-paris.com/pt-BR</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Narrow" w:cs="Arial Narrow" w:eastAsia="Arial Narrow" w:hAnsi="Arial Narrow"/>
          <w:b w:val="1"/>
          <w:bCs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Atualizado: Fevereiro 2024</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1. GERENCIAMENTO DO PROGRAMA DE FIDELIDADE MY SISLEY CLUB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O gestor do Programa de Fidelidade My Sisley Club (doravante Programa de Fidelidade My Sisley Club), prestado pela SISLEY DO BRASIL COSMETICOS LTDA., Sociedade limitada, com sede na </w:t>
      </w:r>
      <w:r w:rsidDel="00000000" w:rsidR="00000000" w:rsidRPr="00000000">
        <w:rPr>
          <w:rFonts w:ascii="Arial Narrow" w:cs="Arial Narrow" w:eastAsia="Arial Narrow" w:hAnsi="Arial Narrow"/>
          <w:sz w:val="18"/>
          <w:szCs w:val="18"/>
          <w:rtl w:val="0"/>
        </w:rPr>
        <w:t xml:space="preserve">Rua dos Pinheiros, 498, cj 42B – 4º. andar, CEP: 05422-902, São Paulo/SP, inscrita no CNPJ/MF de n. 16.587.166/0002-77</w:t>
      </w:r>
      <w:r w:rsidDel="00000000" w:rsidR="00000000" w:rsidRPr="00000000">
        <w:rPr>
          <w:i w:val="1"/>
          <w:iCs w:val="1"/>
          <w:color w:val="222222"/>
          <w:sz w:val="18"/>
          <w:szCs w:val="18"/>
          <w:rtl w:val="0"/>
        </w:rPr>
        <w:t xml:space="preserve"> </w:t>
      </w:r>
      <w:r w:rsidDel="00000000" w:rsidR="00000000" w:rsidRPr="00000000">
        <w:rPr>
          <w:rFonts w:ascii="Arial Narrow" w:cs="Arial Narrow" w:eastAsia="Arial Narrow" w:hAnsi="Arial Narrow"/>
          <w:sz w:val="18"/>
          <w:szCs w:val="18"/>
          <w:rtl w:val="0"/>
        </w:rPr>
        <w:t xml:space="preserve">(doravante “SISLEY”)</w:t>
      </w:r>
      <w:r w:rsidDel="00000000" w:rsidR="00000000" w:rsidRPr="00000000">
        <w:rPr>
          <w:rFonts w:ascii="Arial Narrow" w:cs="Arial Narrow" w:eastAsia="Arial Narrow" w:hAnsi="Arial Narrow"/>
          <w:color w:val="ff0000"/>
          <w:sz w:val="18"/>
          <w:szCs w:val="18"/>
          <w:rtl w:val="0"/>
        </w:rPr>
        <w:t xml:space="preserv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2. CONDIÇÕES DOS MEMBROS DO PROGRAMA DE FIDELIDADE MY SISLEY CLUB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 Programa de Fidelidade My Sisley Club torna possível ganhar pontos de fidelidade com base na quantidade de compras feitas na loja online </w:t>
      </w:r>
      <w:hyperlink r:id="rId8">
        <w:r w:rsidDel="00000000" w:rsidR="00000000" w:rsidRPr="00000000">
          <w:rPr>
            <w:rFonts w:ascii="Arial Narrow" w:cs="Arial Narrow" w:eastAsia="Arial Narrow" w:hAnsi="Arial Narrow"/>
            <w:color w:val="1155cc"/>
            <w:sz w:val="18"/>
            <w:szCs w:val="18"/>
            <w:u w:val="single"/>
            <w:rtl w:val="0"/>
          </w:rPr>
          <w:t xml:space="preserve">www.sisley-paris.com/pt-BR</w:t>
        </w:r>
      </w:hyperlink>
      <w:r w:rsidDel="00000000" w:rsidR="00000000" w:rsidRPr="00000000">
        <w:rPr>
          <w:rFonts w:ascii="Arial Narrow" w:cs="Arial Narrow" w:eastAsia="Arial Narrow" w:hAnsi="Arial Narrow"/>
          <w:color w:val="000000"/>
          <w:sz w:val="18"/>
          <w:szCs w:val="18"/>
          <w:rtl w:val="0"/>
        </w:rPr>
        <w:t xml:space="preserve"> (doravante o "Site"), e usar esses pontos de fidelidade ganhos para o futuro compras. O programa de fidelidade My Sisley Club também oferece acesso a muitos benefícios.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Qualquer pessoa que comprou produtos no site, ou compartilhou um comentário nas páginas do produto ou spa, adere automaticamente ao Programa de Fidelidade My Sisley Club (doravante o "Membro").</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devem criar sua conta no site e fornecer as seguintes informações obrigatórias: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Título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Sobrenome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Primeiro nome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Endereço de e-mail</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Data de nascimento</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Consentimento ou recusa em receber comunicações Sisley.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associação ao Programa de Fidelidade My Sisley Club não requer papel, portanto, nenhum cartão físico será fornecido aos Membros.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conta é pessoal e apenas em seu nome. Os membros (mesmo nome, mesmo endereço de e-mail) só podem se inscrever uma vez no Programa de Fidelidade My Sisley Club: contas múltiplas são proibidas. Além disso, o mesmo endereço de e-mail só pode ser associado a uma conta. O programa de fidelidade My Sisley Club é reservado a indivíduos para uso próprio e não profissional.</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Os membros não podem atribuir ou transferir, de qualquer forma, todos ou parte de seus direitos e / ou obrigações sob o Programa de Fidelidade My Sisley Club sem o consentimento prévio por escrito da Sisley. Os pontos de fidelidade estão associados à pessoa do Membro e, portanto, são intransferíveis e intransferíveis.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Os membros estão sujeitos aos Termos e Condições Gerais do Programa My Sisley Club, aos Termos e Condições Gerais de Vendas Online do Site, à Política de Proteção de Dados Pessoais do Site e à Política de Cookies do Site.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3. MEUS PONTOS FIDELIDADE DO SISLEY CLUB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3.1. Ganhando pontos no programa de fidelidade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jc w:val="both"/>
        <w:rPr>
          <w:i w:val="1"/>
          <w:iCs w:val="1"/>
          <w:sz w:val="18"/>
          <w:szCs w:val="18"/>
        </w:rPr>
      </w:pPr>
      <w:r w:rsidDel="00000000" w:rsidR="00000000" w:rsidRPr="00000000">
        <w:rPr>
          <w:rFonts w:ascii="Arial Narrow" w:cs="Arial Narrow" w:eastAsia="Arial Narrow" w:hAnsi="Arial Narrow"/>
          <w:sz w:val="18"/>
          <w:szCs w:val="18"/>
          <w:rtl w:val="0"/>
        </w:rPr>
        <w:t xml:space="preserve">Para cada compra de um produto (excluindo serviços de tratamento de beleza) feita no site, os pontos de fidelidade são ganhos da seguinte forma: R$ 10,00 gastos = 1 ponto de fidelidade ganho.</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pontos de fidelidade ganhos são arredondados para o número inteiro mais próximo.</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Por exemplo:</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R$24 = 2 pontos de fidelidade ganhados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R$25 = 3 pontos de fidelidade ganhados</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R$35 = 4 pontos de fidelidade ganhados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R$88 = 9 pontos de fidelidade ganhados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A quantidade de pontos ganhos na compra de produtos é </w:t>
      </w:r>
      <w:r w:rsidDel="00000000" w:rsidR="00000000" w:rsidRPr="00000000">
        <w:rPr>
          <w:rFonts w:ascii="Arial Narrow" w:cs="Arial Narrow" w:eastAsia="Arial Narrow" w:hAnsi="Arial Narrow"/>
          <w:sz w:val="18"/>
          <w:szCs w:val="18"/>
          <w:rtl w:val="0"/>
        </w:rPr>
        <w:t xml:space="preserve">calculada com base no valor total dos produtos incluindo todos os impostos e excluindo </w:t>
      </w:r>
      <w:r w:rsidDel="00000000" w:rsidR="00000000" w:rsidRPr="00000000">
        <w:rPr>
          <w:rFonts w:ascii="Arial Narrow" w:cs="Arial Narrow" w:eastAsia="Arial Narrow" w:hAnsi="Arial Narrow"/>
          <w:color w:val="000000"/>
          <w:sz w:val="18"/>
          <w:szCs w:val="18"/>
          <w:rtl w:val="0"/>
        </w:rPr>
        <w:t xml:space="preserve">custos de envio, quando aplicável.</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compra de um cartão-presente no site é incluída no cálculo da quantidade de pontos ganhos, mas os seguintes são excluídos: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Compras pagas com um vale-presente.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3.2. Usando os pontos de fidelidade</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575757"/>
          <w:sz w:val="18"/>
          <w:szCs w:val="1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pontos de fidelidade ganhos só podem ser usados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30 dias corridos após a data da compra. Este período corresponde ao período legal de retirada e ao período de devolução dos produtos adquiridos.</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Durante esse período de 30 dias, novos pontos de fidelidade ganhos recentemente aparecerão com as </w:t>
      </w:r>
      <w:r w:rsidDel="00000000" w:rsidR="00000000" w:rsidRPr="00000000">
        <w:rPr>
          <w:rFonts w:ascii="Arial Narrow" w:cs="Arial Narrow" w:eastAsia="Arial Narrow" w:hAnsi="Arial Narrow"/>
          <w:sz w:val="18"/>
          <w:szCs w:val="18"/>
          <w:rtl w:val="0"/>
        </w:rPr>
        <w:t xml:space="preserve">palavras “Pendente” na seção </w:t>
      </w:r>
      <w:r w:rsidDel="00000000" w:rsidR="00000000" w:rsidRPr="00000000">
        <w:rPr>
          <w:rFonts w:ascii="Arial Narrow" w:cs="Arial Narrow" w:eastAsia="Arial Narrow" w:hAnsi="Arial Narrow"/>
          <w:color w:val="000000"/>
          <w:sz w:val="18"/>
          <w:szCs w:val="18"/>
          <w:rtl w:val="0"/>
        </w:rPr>
        <w:t xml:space="preserve">"Minha conta" do site.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line="240" w:lineRule="auto"/>
        <w:jc w:val="both"/>
        <w:rPr>
          <w:i w:val="1"/>
          <w:iCs w:val="1"/>
          <w:sz w:val="18"/>
          <w:szCs w:val="18"/>
        </w:rPr>
      </w:pPr>
      <w:r w:rsidDel="00000000" w:rsidR="00000000" w:rsidRPr="00000000">
        <w:rPr>
          <w:rFonts w:ascii="Arial Narrow" w:cs="Arial Narrow" w:eastAsia="Arial Narrow" w:hAnsi="Arial Narrow"/>
          <w:color w:val="000000"/>
          <w:sz w:val="18"/>
          <w:szCs w:val="18"/>
          <w:rtl w:val="0"/>
        </w:rPr>
        <w:t xml:space="preserve">Caso os produtos adquiridos sejam devolvidos, os pontos de fidelidade correspondentes à compra não serão definitivamente creditados na conta do Associado e esses pontos de </w:t>
      </w:r>
      <w:r w:rsidDel="00000000" w:rsidR="00000000" w:rsidRPr="00000000">
        <w:rPr>
          <w:rFonts w:ascii="Arial Narrow" w:cs="Arial Narrow" w:eastAsia="Arial Narrow" w:hAnsi="Arial Narrow"/>
          <w:sz w:val="18"/>
          <w:szCs w:val="18"/>
          <w:rtl w:val="0"/>
        </w:rPr>
        <w:t xml:space="preserve">fidelidade “Pendentes” não serão adicionados ao total de pontos do Associado.</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pontos de fidelidade são válidos por 12 meses a partir da data de compra.</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Por exemplo, se um Membro fizer uma compra em 15 de janeiro, os pontos de fidelidade ganhos com essa compra expirarão em 14 de janeiro do ano seguinte.</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Quando um Membro tem pontos de fidelidade com datas de expiração diferentes e deseja usar seus pontos, os primeiros pontos expirados devem ser usados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primeiro.</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Se os pedidos ou produtos adquiridos total ou parcialmente com pontos de fidelidade forem cancelados ou devolvidos, os pontos de fidelidade usados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serão creditados de volta na conta do cliente e só podem ser usados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pelo período de um mês, independentemente da data de vencimento inicial.</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pontos de fidelidade utilizados são distribuídos por todos os produtos do pedido em proporção ao preço dos produtos. Assim, em caso de devolução de um ou mais produtos, os pontos de fidelidade serão novamente creditados na proporção do preço do (s) produto (s) devolvido (s). Como o ponto não é divisível, será feita uma distribuição dos pontos utilizados entre os produtos e o detalhe dessa distribuição constará da fatura que prevalecerá no caso de devolução do produto.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pontos não usados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no todo ou em parte não podem dar origem a qualquer reembolso, mesmo parcial, ou troca, nem a qualquer contraprestação monetária de qualquer forma (incluindo alteração).</w:t>
      </w:r>
    </w:p>
    <w:p w:rsidR="00000000" w:rsidDel="00000000" w:rsidP="00000000" w:rsidRDefault="00000000" w:rsidRPr="00000000" w14:paraId="0000004C">
      <w:pPr>
        <w:shd w:fill="ffffff" w:val="clear"/>
        <w:spacing w:line="240" w:lineRule="auto"/>
        <w:jc w:val="both"/>
        <w:rPr>
          <w:rFonts w:ascii="Arial Narrow" w:cs="Arial Narrow" w:eastAsia="Arial Narrow" w:hAnsi="Arial Narrow"/>
          <w:color w:val="000000"/>
          <w:sz w:val="18"/>
          <w:szCs w:val="18"/>
          <w:highlight w:val="yellow"/>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ff"/>
          <w:sz w:val="18"/>
          <w:szCs w:val="1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3.3. Valor dos pontos de fidelidade</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1 ponto ganho = 1 real de desconto para ser usado em sua próxima compra no site.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podem tirar proveito de seus pontos de fidelidade disponíveis (excluindo pontos de </w:t>
      </w:r>
      <w:r w:rsidDel="00000000" w:rsidR="00000000" w:rsidRPr="00000000">
        <w:rPr>
          <w:rFonts w:ascii="Arial Narrow" w:cs="Arial Narrow" w:eastAsia="Arial Narrow" w:hAnsi="Arial Narrow"/>
          <w:sz w:val="18"/>
          <w:szCs w:val="18"/>
          <w:rtl w:val="0"/>
        </w:rPr>
        <w:t xml:space="preserve">fidelidade “pendentes”) </w:t>
      </w:r>
      <w:r w:rsidDel="00000000" w:rsidR="00000000" w:rsidRPr="00000000">
        <w:rPr>
          <w:rFonts w:ascii="Arial Narrow" w:cs="Arial Narrow" w:eastAsia="Arial Narrow" w:hAnsi="Arial Narrow"/>
          <w:color w:val="000000"/>
          <w:sz w:val="18"/>
          <w:szCs w:val="18"/>
          <w:rtl w:val="0"/>
        </w:rPr>
        <w:t xml:space="preserve">e, assim, deduzir seus pontos do valor total de seu pedido, incluindo todas as taxas, excluindo custos de envio, se aplicável.</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podem usar seus pontos de fidelidade sem valor mínimo de compra e sem limite mínimo de pontos de fidelidade ganhos.</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podem, portanto, pagar por todo ou parte de um pedido, excluindo os custos de envio.</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pontos de fidelidade não podem ser usados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para pagar:</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line="240" w:lineRule="auto"/>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Custos de remessa. Observe que, se o uso dos pontos reduzir o valor do pedido abaixo do limite de frete grátis, o Membro deverá pagar os custos de frete.</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line="240" w:lineRule="auto"/>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compra de um vale-presente Sisley.</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3.4. Consulta aos pontos de fidelidade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podem verificar o saldo de seus pontos de fidelidade:</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Ao fazer login em sua conta no site</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também podem consultar o uso e/ou o total de seus pontos no momento de suas compras, acessando suas contas e indo para a </w:t>
      </w:r>
      <w:r w:rsidDel="00000000" w:rsidR="00000000" w:rsidRPr="00000000">
        <w:rPr>
          <w:rFonts w:ascii="Arial Narrow" w:cs="Arial Narrow" w:eastAsia="Arial Narrow" w:hAnsi="Arial Narrow"/>
          <w:sz w:val="18"/>
          <w:szCs w:val="18"/>
          <w:rtl w:val="0"/>
        </w:rPr>
        <w:t xml:space="preserve">seção “Detalhes sobre seus pontos de fidelidade”.</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ff0000"/>
          <w:sz w:val="18"/>
          <w:szCs w:val="18"/>
        </w:rPr>
      </w:pPr>
      <w:r w:rsidDel="00000000" w:rsidR="00000000" w:rsidRPr="00000000">
        <w:rPr>
          <w:rFonts w:ascii="Arial Narrow" w:cs="Arial Narrow" w:eastAsia="Arial Narrow" w:hAnsi="Arial Narrow"/>
          <w:color w:val="000000"/>
          <w:sz w:val="18"/>
          <w:szCs w:val="18"/>
          <w:rtl w:val="0"/>
        </w:rPr>
        <w:t xml:space="preserve">Se um membro tiver alguma dúvida, ele / ela também pode entrar em contato com o Departamento de Atendimento ao Cliente, que pode ser contatado:</w:t>
      </w:r>
      <w:r w:rsidDel="00000000" w:rsidR="00000000" w:rsidRPr="00000000">
        <w:rPr>
          <w:rtl w:val="0"/>
        </w:rPr>
      </w:r>
    </w:p>
    <w:p w:rsidR="00000000" w:rsidDel="00000000" w:rsidP="00000000" w:rsidRDefault="00000000" w:rsidRPr="00000000" w14:paraId="00000064">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2lqy93s549wb"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por telefone pelo número</w:t>
      </w:r>
      <w:r w:rsidDel="00000000" w:rsidR="00000000" w:rsidRPr="00000000">
        <w:rPr>
          <w:rFonts w:ascii="Arial Narrow" w:cs="Arial Narrow" w:eastAsia="Arial Narrow" w:hAnsi="Arial Narrow"/>
          <w:color w:val="ff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0800 006 0005 / (11) 97627-1001</w:t>
      </w:r>
    </w:p>
    <w:p w:rsidR="00000000" w:rsidDel="00000000" w:rsidP="00000000" w:rsidRDefault="00000000" w:rsidRPr="00000000" w14:paraId="00000065">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através da seção "Formulário de contato" presente no site</w:t>
      </w:r>
    </w:p>
    <w:p w:rsidR="00000000" w:rsidDel="00000000" w:rsidP="00000000" w:rsidRDefault="00000000" w:rsidRPr="00000000" w14:paraId="00000066">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125izzd2765m"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por email: </w:t>
      </w:r>
      <w:hyperlink r:id="rId9">
        <w:r w:rsidDel="00000000" w:rsidR="00000000" w:rsidRPr="00000000">
          <w:rPr>
            <w:rFonts w:ascii="Arial Narrow" w:cs="Arial Narrow" w:eastAsia="Arial Narrow" w:hAnsi="Arial Narrow"/>
            <w:color w:val="1155cc"/>
            <w:sz w:val="18"/>
            <w:szCs w:val="18"/>
            <w:u w:val="single"/>
            <w:rtl w:val="0"/>
          </w:rPr>
          <w:t xml:space="preserve">contato@sisleydobrasil.com.br</w:t>
        </w:r>
      </w:hyperlink>
      <w:r w:rsidDel="00000000" w:rsidR="00000000" w:rsidRPr="00000000">
        <w:rPr>
          <w:rtl w:val="0"/>
        </w:rPr>
      </w:r>
    </w:p>
    <w:p w:rsidR="00000000" w:rsidDel="00000000" w:rsidP="00000000" w:rsidRDefault="00000000" w:rsidRPr="00000000" w14:paraId="00000067">
      <w:pPr>
        <w:pStyle w:val="Heading4"/>
        <w:keepNext w:val="0"/>
        <w:keepLines w:val="0"/>
        <w:shd w:fill="ffffff" w:val="clear"/>
        <w:spacing w:after="40" w:before="0" w:line="240" w:lineRule="auto"/>
        <w:ind w:left="426" w:hanging="426"/>
        <w:jc w:val="both"/>
        <w:rPr>
          <w:rFonts w:ascii="Arial Narrow" w:cs="Arial Narrow" w:eastAsia="Arial Narrow" w:hAnsi="Arial Narrow"/>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    por correio, escrevendo para o seguinte endereço: Rua Dos Pinheiros, 498 – 4° andar cj 42B – Pinheiros, São Paulo, Estado de São Paulo - CEP: 05422-001</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4. STATUS  DO MEU SISLEY CLUB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4.1. Status determinados </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 programa de fidelidade My Sisley Club consiste em três status</w:t>
      </w:r>
      <w:r w:rsidDel="00000000" w:rsidR="00000000" w:rsidRPr="00000000">
        <w:rPr>
          <w:rFonts w:ascii="Arial Narrow" w:cs="Arial Narrow" w:eastAsia="Arial Narrow" w:hAnsi="Arial Narrow"/>
          <w:sz w:val="18"/>
          <w:szCs w:val="18"/>
          <w:rtl w:val="0"/>
        </w:rPr>
        <w:t xml:space="preserve">: Orchidee, Gold e Platinum.</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Esses status são determinados de acordo com o número de pontos de fidelidade ganhos por cada Membro: </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Orchidee: da primeira compra até 249 pontos de fidelidade ganhos</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entre 250 e 499 pontos de fidelidade ganhos</w:t>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mais de 500 pontos de fidelidade ganhos.</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shd w:fill="9fc5e8"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O status do Membro pode mudar ao longo do ano conforme descrito acima, dependendo da compra realizada. Em seguida, o status é recalculado em 1º de janeiro de cada ano, levando-se em consideração todas as compras realizadas no ano anterior.</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Por exemplo: para membros existentes, o status a partir de 1º de janeiro de 2021 é determinado com base nas compras feitas durante 2020.</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Caso especial: para novos Membros que ingressarem no Programa de Fidelidade My Sisley Club durante o segundo semestre do ano N, seu status em 1º de janeiro do ano N + 2 será determinado por todas as compras feitas no ano N e N + 1.</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Por exemplo: para um novo membro que ingressou no Programa de Fidelidade em 30 de agosto de 2019, seu status em 1º de janeiro de 2020 foi determinado com base nas compras feitas durante 2019, e seu status em 1º de janeiro de 2021 é determinado com base em todas as compras feitas durante 2019 e 2020.</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4.2. Benefícios por Status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shd w:fill="9fc5e8"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Dependendo de seu status, os membros se beneficiam de diferentes vantagens:</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Orchidee:</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Acumule pontos em sua primeira compra</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Especial de aniversário: os pontos de fidelidade são duplicados em todas as suas compras feitas no mês seguinte ao seu aniversário.</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Receba newsletter dos lançamentos com pré-venda exclusiva</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Pontos em dobro no mês do seu aniversário</w:t>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Especial de aniversário: os pontos de fidelidade são duplicados em todas as suas compras feitas no mês seguinte ao seu aniversário.</w:t>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Consulta de beleza VIP com um especialista</w:t>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Promoções e ofertas exclusivas.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18"/>
          <w:szCs w:val="18"/>
          <w:rtl w:val="0"/>
        </w:rPr>
        <w:t xml:space="preserve">Platinum</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Receba newsletter dos lançamentos com pré-venda exclusiva</w:t>
      </w:r>
    </w:p>
    <w:p w:rsidR="00000000" w:rsidDel="00000000" w:rsidP="00000000" w:rsidRDefault="00000000" w:rsidRPr="00000000" w14:paraId="0000008E">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Obtenha pontos em dobro, nas compras no mês do seu aniversário.</w:t>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Promoções e ofertas exclusivas</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Promoções e ofertas com pontos em dobro</w:t>
      </w:r>
    </w:p>
    <w:p w:rsidR="00000000" w:rsidDel="00000000" w:rsidP="00000000" w:rsidRDefault="00000000" w:rsidRPr="00000000" w14:paraId="00000091">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Especial de aniversário: os pontos de fidelidade são duplicados em todas as suas compras feitas no mês seguinte ao seu aniversário.</w:t>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Consulta de beleza VIP com um especialista</w:t>
      </w:r>
    </w:p>
    <w:p w:rsidR="00000000" w:rsidDel="00000000" w:rsidP="00000000" w:rsidRDefault="00000000" w:rsidRPr="00000000" w14:paraId="00000093">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Eventos privados</w:t>
      </w:r>
    </w:p>
    <w:p w:rsidR="00000000" w:rsidDel="00000000" w:rsidP="00000000" w:rsidRDefault="00000000" w:rsidRPr="00000000" w14:paraId="00000094">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My Sisley Beauty Class</w:t>
      </w:r>
    </w:p>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Oferta exclusiva de aniversário - 25% OFF por 24h no dia do aniversário</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b w:val="1"/>
          <w:bCs w:val="1"/>
          <w:color w:val="000000"/>
          <w:sz w:val="18"/>
          <w:szCs w:val="18"/>
          <w:u w:val="single"/>
        </w:rPr>
      </w:pPr>
      <w:r w:rsidDel="00000000" w:rsidR="00000000" w:rsidRPr="00000000">
        <w:rPr>
          <w:rFonts w:ascii="Arial Narrow" w:cs="Arial Narrow" w:eastAsia="Arial Narrow" w:hAnsi="Arial Narrow"/>
          <w:b w:val="1"/>
          <w:bCs w:val="1"/>
          <w:color w:val="000000"/>
          <w:sz w:val="18"/>
          <w:szCs w:val="18"/>
          <w:u w:val="single"/>
          <w:rtl w:val="0"/>
        </w:rPr>
        <w:t xml:space="preserve">5. DADOS PESSOAIS</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Ao criar sua conta, os membros devem preencher as seguintes informações obrigatórias:</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Título</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Sobrenome</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Primeiro nome</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Endereço de email</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Data de nascimento</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Consentimento ou recusa em receber comunicações Sisley.</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são responsáveis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pela exatidão dos dados que fornecem para criar suas contas e ingressar no Programa de Fidelidade My Sisley Club.</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Os membros são responsáveis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por manter suas informações atualizadas, atualizando seus dados no site.</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data de nascimento é obrigatória para poder usufruir das Ofertas de Aniversário, caso contrário o Associado não poderá usufruir delas. Se a data de nascimento em sua conta estiver incorreta, apenas uma alteração será permitida e uma cópia da identidade do associado pode ser solicitada para qualquer alteração adicional a fim de evitar qualquer abuso.</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A SISLEY não será de forma alguma responsável se o Membro não receber quaisquer comunicações, convites, ofertas ou produtos enviados ao Membro no Programa de Fidelidade My Sisley Club devido a informações imprecisas ou desatualizadas.</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9">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96k047jnakx5" w:id="3"/>
      <w:bookmarkEnd w:id="3"/>
      <w:r w:rsidDel="00000000" w:rsidR="00000000" w:rsidRPr="00000000">
        <w:rPr>
          <w:rFonts w:ascii="Arial Narrow" w:cs="Arial Narrow" w:eastAsia="Arial Narrow" w:hAnsi="Arial Narrow"/>
          <w:sz w:val="18"/>
          <w:szCs w:val="18"/>
          <w:rtl w:val="0"/>
        </w:rPr>
        <w:t xml:space="preserve">As informações coletadas serão processadas por computador para os seguintes fins:</w:t>
      </w:r>
    </w:p>
    <w:p w:rsidR="00000000" w:rsidDel="00000000" w:rsidP="00000000" w:rsidRDefault="00000000" w:rsidRPr="00000000" w14:paraId="000000AA">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b2oivy5hmlyk" w:id="4"/>
      <w:bookmarkEnd w:id="4"/>
      <w:r w:rsidDel="00000000" w:rsidR="00000000" w:rsidRPr="00000000">
        <w:rPr>
          <w:rFonts w:ascii="Arial Narrow" w:cs="Arial Narrow" w:eastAsia="Arial Narrow" w:hAnsi="Arial Narrow"/>
          <w:sz w:val="18"/>
          <w:szCs w:val="18"/>
          <w:rtl w:val="0"/>
        </w:rPr>
        <w:t xml:space="preserve">- Gerenciamento do Programa de Fidelidade My Sisley Club (base jurídica: contrato).</w:t>
      </w:r>
    </w:p>
    <w:p w:rsidR="00000000" w:rsidDel="00000000" w:rsidP="00000000" w:rsidRDefault="00000000" w:rsidRPr="00000000" w14:paraId="000000AB">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z688bnu4v5e6" w:id="5"/>
      <w:bookmarkEnd w:id="5"/>
      <w:r w:rsidDel="00000000" w:rsidR="00000000" w:rsidRPr="00000000">
        <w:rPr>
          <w:rFonts w:ascii="Arial Narrow" w:cs="Arial Narrow" w:eastAsia="Arial Narrow" w:hAnsi="Arial Narrow"/>
          <w:sz w:val="18"/>
          <w:szCs w:val="18"/>
          <w:rtl w:val="0"/>
        </w:rPr>
        <w:t xml:space="preserve">- Promover e personalizar várias comunicações (digital, email, papel, sms) da SISLEY (base jurídica: legítimo interesse da Sisley).</w:t>
      </w:r>
    </w:p>
    <w:p w:rsidR="00000000" w:rsidDel="00000000" w:rsidP="00000000" w:rsidRDefault="00000000" w:rsidRPr="00000000" w14:paraId="000000AC">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fjco0oqu2ce" w:id="6"/>
      <w:bookmarkEnd w:id="6"/>
      <w:r w:rsidDel="00000000" w:rsidR="00000000" w:rsidRPr="00000000">
        <w:rPr>
          <w:rFonts w:ascii="Arial Narrow" w:cs="Arial Narrow" w:eastAsia="Arial Narrow" w:hAnsi="Arial Narrow"/>
          <w:sz w:val="18"/>
          <w:szCs w:val="18"/>
          <w:rtl w:val="0"/>
        </w:rPr>
        <w:t xml:space="preserve">- Produção de estatísticas de vendas (base jurídica: legítimo interesse da Sisley).</w:t>
      </w:r>
    </w:p>
    <w:p w:rsidR="00000000" w:rsidDel="00000000" w:rsidP="00000000" w:rsidRDefault="00000000" w:rsidRPr="00000000" w14:paraId="000000AD">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E">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 controlador desses dados é SISLEY. Os dados podem ser enviados para c.f.e.b. SISLEY e provedores de serviços selecionados pela SISLEY para executar o Programa de Fidelidade My Sisley Club e gerenciar contas de clientes.</w:t>
      </w:r>
    </w:p>
    <w:p w:rsidR="00000000" w:rsidDel="00000000" w:rsidP="00000000" w:rsidRDefault="00000000" w:rsidRPr="00000000" w14:paraId="000000AF">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0">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Os dados serão mantidos por um período de tempo que permita à SISLEY cumprir com suas obrigações legais ou por um máximo de três anos a partir da última compra / contato.</w:t>
      </w:r>
    </w:p>
    <w:p w:rsidR="00000000" w:rsidDel="00000000" w:rsidP="00000000" w:rsidRDefault="00000000" w:rsidRPr="00000000" w14:paraId="000000B1">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2">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Para mais informações sobre a Política de proteção de dados pessoais da SISLEY, o Membro pode acessá-la no seguinte link: </w:t>
      </w:r>
      <w:hyperlink r:id="rId10">
        <w:r w:rsidDel="00000000" w:rsidR="00000000" w:rsidRPr="00000000">
          <w:rPr>
            <w:rFonts w:ascii="Arial Narrow" w:cs="Arial Narrow" w:eastAsia="Arial Narrow" w:hAnsi="Arial Narrow"/>
            <w:color w:val="1155cc"/>
            <w:sz w:val="18"/>
            <w:szCs w:val="18"/>
            <w:u w:val="single"/>
            <w:rtl w:val="0"/>
          </w:rPr>
          <w:t xml:space="preserve">aqui</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6. ALTERAÇÕES E RESCISÃO</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SISLEY fará o possível para garantir que o Programa de Fidelidade My Sisley Club opere sem problemas, mas não pode ser responsabilizada por quaisquer avarias ou erros no Programa de Fidelidade My Sisley Club.</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SISLEY reserva-se o direito de alterar o Programa de Fidelidade e suas condições a qualquer momento dentro de um período de tempo razoável.A última versão das condições aplicáveis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ao Programa de Fidelidade My Sisley Club está disponível no Site. SISLEY, portanto, convida os membros a verificar o site regularmente.</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Sisley se reserva o direito de suspender ou encerrar o Programa, desde que os Membros sejam notificados com antecedência dentro de um período de tempo razoável. Caso o Programa de Fidelidade My Sisley Club seja encerrado, os Membros que adquiriram os benefícios deverão mantê-los pelo tempo restante.Nenhuma mudança, suspensão ou cancelamento do Programa de Fidelidade My Sisley Club dará a qualquer Membro o direito a compensação.</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SISLEY reserva-se o direito de suspender ou desativar a conta de um Membro, o que fará com que os pontos ganhos sejam cancelados, e o Membro não poderá reclamar qualquer compensação:</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No caso de qualquer ação que possa interromper o funcionamento normal do Programa de Fidelidade My Sisley Club e, em particular, em caso de fraude, tentativa de fraude ou uso indevido ou tentativa de uso indevido dos benefícios oferecidos no Programa de Fidelidade;</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Fonts w:ascii="Arial Narrow" w:cs="Arial Narrow" w:eastAsia="Arial Narrow" w:hAnsi="Arial Narrow"/>
          <w:color w:val="000000"/>
          <w:sz w:val="18"/>
          <w:szCs w:val="18"/>
          <w:rtl w:val="0"/>
        </w:rPr>
        <w:t xml:space="preserve">- De forma mais geral, no caso de não cumprimento dessas condições.</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ffffff" w:val="clear"/>
        <w:spacing w:line="240" w:lineRule="auto"/>
        <w:jc w:val="both"/>
        <w:rPr>
          <w:i w:val="1"/>
          <w:iCs w:val="1"/>
          <w:color w:val="222222"/>
          <w:sz w:val="18"/>
          <w:szCs w:val="18"/>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7. LEI APLICAVEL E JURISDIÇÃO</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Os termos e condições gerais </w:t>
      </w:r>
      <w:r w:rsidDel="00000000" w:rsidR="00000000" w:rsidRPr="00000000">
        <w:rPr>
          <w:rFonts w:ascii="Arial Narrow" w:cs="Arial Narrow" w:eastAsia="Arial Narrow" w:hAnsi="Arial Narrow"/>
          <w:color w:val="000000"/>
          <w:sz w:val="18"/>
          <w:szCs w:val="18"/>
          <w:rtl w:val="0"/>
        </w:rPr>
        <w:t xml:space="preserve">do Programa de Fidelidade </w:t>
      </w:r>
      <w:r w:rsidDel="00000000" w:rsidR="00000000" w:rsidRPr="00000000">
        <w:rPr>
          <w:rFonts w:ascii="Arial Narrow" w:cs="Arial Narrow" w:eastAsia="Arial Narrow" w:hAnsi="Arial Narrow"/>
          <w:sz w:val="18"/>
          <w:szCs w:val="18"/>
          <w:rtl w:val="0"/>
        </w:rPr>
        <w:t xml:space="preserve">serão submetidos a legislação brasileira.</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sz w:val="18"/>
          <w:szCs w:val="18"/>
          <w:rtl w:val="0"/>
        </w:rPr>
        <w:t xml:space="preserve">Qualquer conflito judicial surgido no contexto deste documento deverá ser submetido com exclusividade à jurisdição brasileira, mesmo no caso de reclamações de garantia ou por múltiplos reclamantes. </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30399B"/>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30399B"/>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30399B"/>
    <w:rPr>
      <w:b w:val="1"/>
      <w:bCs w:val="1"/>
    </w:rPr>
  </w:style>
  <w:style w:type="character" w:styleId="ObjetducommentaireCar" w:customStyle="1">
    <w:name w:val="Objet du commentaire Car"/>
    <w:basedOn w:val="CommentaireCar"/>
    <w:link w:val="Objetducommentaire"/>
    <w:uiPriority w:val="99"/>
    <w:semiHidden w:val="1"/>
    <w:rsid w:val="0030399B"/>
    <w:rPr>
      <w:b w:val="1"/>
      <w:bCs w:val="1"/>
      <w:sz w:val="20"/>
      <w:szCs w:val="20"/>
    </w:rPr>
  </w:style>
  <w:style w:type="paragraph" w:styleId="PrformatHTML">
    <w:name w:val="HTML Preformatted"/>
    <w:basedOn w:val="Normal"/>
    <w:link w:val="PrformatHTMLCar"/>
    <w:uiPriority w:val="99"/>
    <w:unhideWhenUsed w:val="1"/>
    <w:rsid w:val="004F4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eastAsia="Times New Roman" w:hAnsi="Courier New"/>
      <w:sz w:val="20"/>
      <w:szCs w:val="20"/>
      <w:lang w:eastAsia="pt-BR"/>
    </w:rPr>
  </w:style>
  <w:style w:type="character" w:styleId="PrformatHTMLCar" w:customStyle="1">
    <w:name w:val="Préformaté HTML Car"/>
    <w:basedOn w:val="Policepardfaut"/>
    <w:link w:val="PrformatHTML"/>
    <w:uiPriority w:val="99"/>
    <w:rsid w:val="004F4F76"/>
    <w:rPr>
      <w:rFonts w:ascii="Courier New" w:cs="Courier New" w:eastAsia="Times New Roman" w:hAnsi="Courier New"/>
      <w:sz w:val="20"/>
      <w:szCs w:val="20"/>
      <w:lang w:eastAsia="pt-BR" w:val="pt-BR"/>
    </w:rPr>
  </w:style>
  <w:style w:type="paragraph" w:styleId="Paragraphedeliste">
    <w:name w:val="List Paragraph"/>
    <w:basedOn w:val="Normal"/>
    <w:uiPriority w:val="34"/>
    <w:qFormat w:val="1"/>
    <w:rsid w:val="000D7EC0"/>
    <w:pPr>
      <w:ind w:left="720"/>
      <w:contextualSpacing w:val="1"/>
    </w:pPr>
  </w:style>
  <w:style w:type="character" w:styleId="Lienhypertexte">
    <w:name w:val="Hyperlink"/>
    <w:basedOn w:val="Policepardfaut"/>
    <w:uiPriority w:val="99"/>
    <w:unhideWhenUsed w:val="1"/>
    <w:rsid w:val="00243A05"/>
    <w:rPr>
      <w:color w:val="0000ff" w:themeColor="hyperlink"/>
      <w:u w:val="single"/>
    </w:rPr>
  </w:style>
  <w:style w:type="paragraph" w:styleId="Rvision">
    <w:name w:val="Revision"/>
    <w:hidden w:val="1"/>
    <w:uiPriority w:val="99"/>
    <w:semiHidden w:val="1"/>
    <w:rsid w:val="00ED1686"/>
    <w:pPr>
      <w:spacing w:line="240" w:lineRule="auto"/>
    </w:pPr>
    <w:rPr>
      <w:lang w:val="pt-B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isley-paris.com/on/demandware.static/-/Library-Sites-Sisley/default/legal/BR_SISLEY_Personal_Data_Protection_Policy.docx" TargetMode="External"/><Relationship Id="rId9" Type="http://schemas.openxmlformats.org/officeDocument/2006/relationships/hyperlink" Target="mailto:contato@sisleydobrasil.com.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pt-BR" TargetMode="External"/><Relationship Id="rId8" Type="http://schemas.openxmlformats.org/officeDocument/2006/relationships/hyperlink" Target="http://www.sisley-paris.com/pt-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UEEtYyySUzUPTa5ZtlbDTY65A==">CgMxLjAyDmguYnQ1YmUzOG1nbDRoMg5oLjJscXk5M3M1NDl3YjIOaC4xMjVpenpkMjc2NW0yDmguOTZrMDQ3am5ha3g1Mg5oLmIyb2l2eTVobWx5azIOaC56Njg4Ym51NHY1ZTYyDWguZmpjbzBvcXUyY2U4AHIhMUk0aW5FcDRzRVdWMEwyU1o4NFU2MlVZXzNuMHBDSnBv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2021-04-07T20:20:00Z</dcterms:created>
  <dc:creator>Thi Diem Mi Nho</dc:creator>
</cp:coreProperties>
</file>