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both"/>
        <w:rPr>
          <w:sz w:val="26"/>
          <w:szCs w:val="26"/>
        </w:rPr>
      </w:pPr>
      <w:bookmarkStart w:colFirst="0" w:colLast="0" w:name="_heading=h.jwat5pcwhkn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سياسة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حماية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الشخصية</w:t>
      </w:r>
    </w:p>
    <w:p w:rsidR="00000000" w:rsidDel="00000000" w:rsidP="00000000" w:rsidRDefault="00000000" w:rsidRPr="00000000" w14:paraId="00000003">
      <w:pPr>
        <w:bidi w:val="1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www.sisley-paris.com/ar-MEA/</w:t>
      </w:r>
    </w:p>
    <w:p w:rsidR="00000000" w:rsidDel="00000000" w:rsidP="00000000" w:rsidRDefault="00000000" w:rsidRPr="00000000" w14:paraId="00000005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التحديث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مايو</w:t>
      </w:r>
      <w:r w:rsidDel="00000000" w:rsidR="00000000" w:rsidRPr="00000000">
        <w:rPr>
          <w:sz w:val="26"/>
          <w:szCs w:val="26"/>
          <w:rtl w:val="1"/>
        </w:rPr>
        <w:t xml:space="preserve"> 2022</w:t>
      </w:r>
    </w:p>
    <w:p w:rsidR="00000000" w:rsidDel="00000000" w:rsidP="00000000" w:rsidRDefault="00000000" w:rsidRPr="00000000" w14:paraId="00000007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تولي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أهمية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تجمعها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تقوم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بتقديمها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تبذل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قصارى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جهدها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أجل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تأمين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درجة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للقانون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تحتفظ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تعديل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إنذار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مسبق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تمكنك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الوثيقة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أفضل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ندعوك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لقراءة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الوثيقة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قبل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تقديم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زيارة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فإنك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قيام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والهيئات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الخارجية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التابعة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بالتعامل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والإفصاح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ح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ررت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باللغتين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والعربية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تضارب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تفسير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مختلف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يعتد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ويعتبر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الإنجليزي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تعديله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تلقائيا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ليتوافق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الصلة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يقر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بأنه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قرأ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ويتفهم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محتواها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إبرامها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بحرية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إكراه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تقر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تفهم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تماما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لغة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الماثلة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هوية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الجهة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المسؤولة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عن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المعالجة</w:t>
      </w:r>
    </w:p>
    <w:p w:rsidR="00000000" w:rsidDel="00000000" w:rsidP="00000000" w:rsidRDefault="00000000" w:rsidRPr="00000000" w14:paraId="00000015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حيثما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مناسبا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بموجب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فإن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الجهة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المسؤولة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أورينت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م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ح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منطقة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مسجلة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DAFZ</w:t>
      </w:r>
      <w:r w:rsidDel="00000000" w:rsidR="00000000" w:rsidRPr="00000000">
        <w:rPr>
          <w:sz w:val="26"/>
          <w:szCs w:val="26"/>
          <w:rtl w:val="1"/>
        </w:rPr>
        <w:t xml:space="preserve">\1113 </w:t>
      </w:r>
      <w:r w:rsidDel="00000000" w:rsidR="00000000" w:rsidRPr="00000000">
        <w:rPr>
          <w:sz w:val="26"/>
          <w:szCs w:val="26"/>
          <w:rtl w:val="1"/>
        </w:rPr>
        <w:t xml:space="preserve">ويقع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مقرها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المسجل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المكتب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B</w:t>
      </w:r>
      <w:r w:rsidDel="00000000" w:rsidR="00000000" w:rsidRPr="00000000">
        <w:rPr>
          <w:sz w:val="26"/>
          <w:szCs w:val="26"/>
          <w:rtl w:val="1"/>
        </w:rPr>
        <w:t xml:space="preserve">2 504 ، </w:t>
      </w:r>
      <w:r w:rsidDel="00000000" w:rsidR="00000000" w:rsidRPr="00000000">
        <w:rPr>
          <w:sz w:val="26"/>
          <w:szCs w:val="26"/>
          <w:rtl w:val="1"/>
        </w:rPr>
        <w:t xml:space="preserve">المنطقة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بمطار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دبي</w:t>
      </w:r>
      <w:r w:rsidDel="00000000" w:rsidR="00000000" w:rsidRPr="00000000">
        <w:rPr>
          <w:sz w:val="26"/>
          <w:szCs w:val="26"/>
          <w:rtl w:val="1"/>
        </w:rPr>
        <w:t xml:space="preserve"> ، </w:t>
      </w:r>
      <w:r w:rsidDel="00000000" w:rsidR="00000000" w:rsidRPr="00000000">
        <w:rPr>
          <w:sz w:val="26"/>
          <w:szCs w:val="26"/>
          <w:rtl w:val="1"/>
        </w:rPr>
        <w:t xml:space="preserve">رمول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دبي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الإمارات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rtl w:val="1"/>
        </w:rPr>
        <w:t xml:space="preserve">، 293652 </w:t>
      </w:r>
      <w:r w:rsidDel="00000000" w:rsidR="00000000" w:rsidRPr="00000000">
        <w:rPr>
          <w:sz w:val="26"/>
          <w:szCs w:val="26"/>
          <w:rtl w:val="1"/>
        </w:rPr>
        <w:t xml:space="preserve">وتحمل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تسجيل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ضريبة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القيمة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المضافة</w:t>
      </w:r>
      <w:r w:rsidDel="00000000" w:rsidR="00000000" w:rsidRPr="00000000">
        <w:rPr>
          <w:sz w:val="26"/>
          <w:szCs w:val="26"/>
          <w:rtl w:val="1"/>
        </w:rPr>
        <w:t xml:space="preserve"> 100238950800003 (</w:t>
      </w:r>
      <w:r w:rsidDel="00000000" w:rsidR="00000000" w:rsidRPr="00000000">
        <w:rPr>
          <w:sz w:val="26"/>
          <w:szCs w:val="26"/>
          <w:rtl w:val="1"/>
        </w:rPr>
        <w:t xml:space="preserve">يشار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").</w:t>
      </w:r>
    </w:p>
    <w:p w:rsidR="00000000" w:rsidDel="00000000" w:rsidP="00000000" w:rsidRDefault="00000000" w:rsidRPr="00000000" w14:paraId="00000017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الشخصية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التي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يتم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جمعها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ومتى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19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تسمح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بالتعرف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بطريقة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مباشرة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مباشرة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شخصية</w:t>
      </w:r>
      <w:r w:rsidDel="00000000" w:rsidR="00000000" w:rsidRPr="00000000">
        <w:rPr>
          <w:sz w:val="26"/>
          <w:szCs w:val="26"/>
          <w:rtl w:val="1"/>
        </w:rPr>
        <w:t xml:space="preserve">".</w:t>
      </w:r>
    </w:p>
    <w:p w:rsidR="00000000" w:rsidDel="00000000" w:rsidP="00000000" w:rsidRDefault="00000000" w:rsidRPr="00000000" w14:paraId="0000001B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للمزيد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التحديد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يجوز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تجمع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وتسجل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وتعالج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وتنقل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وتستخدم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المتصلة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يلي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1D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bidi w:val="1"/>
        <w:ind w:left="81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هويتك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اللقب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والاسم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والأخير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والعنوان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الهاتف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/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الهاتف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المحمول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وعنوان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الميلاد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ورمز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الداخلية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يسمح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بتحديد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هوية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العميل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1F">
      <w:pPr>
        <w:bidi w:val="1"/>
        <w:ind w:left="81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bidi w:val="1"/>
        <w:ind w:left="81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الطلبيات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وتعق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العلاقة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استلام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الطلبية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الاشتراك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والفوترة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والشحن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وطرق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الدفع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ومنع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الاحتيال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وإرجاع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واسترداد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المبالغ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والمطالبات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المشتراة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عمليات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المقدمة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وبرنامج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والمراسلات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والاستبدال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وتعليقات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الحاليين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والمحتملين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21">
      <w:pPr>
        <w:bidi w:val="1"/>
        <w:ind w:left="81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bidi w:val="1"/>
        <w:ind w:left="81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المبادرات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تستهدف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وإيجاد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المحتملين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وإجراء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الدراسات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والاستطلاعات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واختبارات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والعروض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الترويجية</w:t>
      </w:r>
    </w:p>
    <w:p w:rsidR="00000000" w:rsidDel="00000000" w:rsidP="00000000" w:rsidRDefault="00000000" w:rsidRPr="00000000" w14:paraId="00000023">
      <w:pPr>
        <w:bidi w:val="1"/>
        <w:ind w:left="81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bidi w:val="1"/>
        <w:ind w:left="81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مشاركة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الأشخاص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يعبرون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آرائهم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المحتوى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ind w:left="81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bidi w:val="1"/>
        <w:ind w:left="81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تنظيم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المسابقات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والقرعة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الأنشطة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الترويجية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المشاركة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والأجوبة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المقدمة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أثناء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المسابقات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ونوع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الجوائز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المقدمة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27">
      <w:pPr>
        <w:bidi w:val="1"/>
        <w:ind w:left="81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bidi w:val="1"/>
        <w:ind w:left="81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التقنية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اللغة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وعنوان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بروتوكول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الإنترنت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التصفح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المرتبطة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بالجهاز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يجوز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تجمع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خاصة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B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زيارة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www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-</w:t>
      </w:r>
      <w:r w:rsidDel="00000000" w:rsidR="00000000" w:rsidRPr="00000000">
        <w:rPr>
          <w:sz w:val="26"/>
          <w:szCs w:val="26"/>
          <w:rtl w:val="0"/>
        </w:rPr>
        <w:t xml:space="preserve">paris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com</w:t>
      </w:r>
      <w:r w:rsidDel="00000000" w:rsidR="00000000" w:rsidRPr="00000000">
        <w:rPr>
          <w:sz w:val="26"/>
          <w:szCs w:val="26"/>
          <w:rtl w:val="0"/>
        </w:rPr>
        <w:t xml:space="preserve">/</w:t>
      </w:r>
      <w:r w:rsidDel="00000000" w:rsidR="00000000" w:rsidRPr="00000000">
        <w:rPr>
          <w:sz w:val="26"/>
          <w:szCs w:val="26"/>
          <w:rtl w:val="0"/>
        </w:rPr>
        <w:t xml:space="preserve">en</w:t>
      </w:r>
      <w:r w:rsidDel="00000000" w:rsidR="00000000" w:rsidRPr="00000000">
        <w:rPr>
          <w:sz w:val="26"/>
          <w:szCs w:val="26"/>
          <w:rtl w:val="0"/>
        </w:rPr>
        <w:t xml:space="preserve">-</w:t>
      </w:r>
      <w:r w:rsidDel="00000000" w:rsidR="00000000" w:rsidRPr="00000000">
        <w:rPr>
          <w:sz w:val="26"/>
          <w:szCs w:val="26"/>
          <w:rtl w:val="0"/>
        </w:rPr>
        <w:t xml:space="preserve">MEA</w:t>
      </w:r>
      <w:r w:rsidDel="00000000" w:rsidR="00000000" w:rsidRPr="00000000">
        <w:rPr>
          <w:sz w:val="26"/>
          <w:szCs w:val="26"/>
          <w:rtl w:val="1"/>
        </w:rPr>
        <w:t xml:space="preserve">/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www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0"/>
        </w:rPr>
        <w:t xml:space="preserve">-</w:t>
      </w:r>
      <w:r w:rsidDel="00000000" w:rsidR="00000000" w:rsidRPr="00000000">
        <w:rPr>
          <w:sz w:val="26"/>
          <w:szCs w:val="26"/>
          <w:rtl w:val="0"/>
        </w:rPr>
        <w:t xml:space="preserve">paris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sz w:val="26"/>
          <w:szCs w:val="26"/>
          <w:rtl w:val="0"/>
        </w:rPr>
        <w:t xml:space="preserve">com</w:t>
      </w:r>
      <w:r w:rsidDel="00000000" w:rsidR="00000000" w:rsidRPr="00000000">
        <w:rPr>
          <w:sz w:val="26"/>
          <w:szCs w:val="26"/>
          <w:rtl w:val="0"/>
        </w:rPr>
        <w:t xml:space="preserve">/</w:t>
      </w:r>
      <w:r w:rsidDel="00000000" w:rsidR="00000000" w:rsidRPr="00000000">
        <w:rPr>
          <w:sz w:val="26"/>
          <w:szCs w:val="26"/>
          <w:rtl w:val="0"/>
        </w:rPr>
        <w:t xml:space="preserve">ar</w:t>
      </w:r>
      <w:r w:rsidDel="00000000" w:rsidR="00000000" w:rsidRPr="00000000">
        <w:rPr>
          <w:sz w:val="26"/>
          <w:szCs w:val="26"/>
          <w:rtl w:val="0"/>
        </w:rPr>
        <w:t xml:space="preserve">-</w:t>
      </w:r>
      <w:r w:rsidDel="00000000" w:rsidR="00000000" w:rsidRPr="00000000">
        <w:rPr>
          <w:sz w:val="26"/>
          <w:szCs w:val="26"/>
          <w:rtl w:val="0"/>
        </w:rPr>
        <w:t xml:space="preserve">MEA</w:t>
      </w:r>
      <w:r w:rsidDel="00000000" w:rsidR="00000000" w:rsidRPr="00000000">
        <w:rPr>
          <w:sz w:val="26"/>
          <w:szCs w:val="26"/>
          <w:rtl w:val="1"/>
        </w:rPr>
        <w:t xml:space="preserve">/ (</w:t>
      </w:r>
      <w:r w:rsidDel="00000000" w:rsidR="00000000" w:rsidRPr="00000000">
        <w:rPr>
          <w:sz w:val="26"/>
          <w:szCs w:val="26"/>
          <w:rtl w:val="1"/>
        </w:rPr>
        <w:t xml:space="preserve">يشار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").</w:t>
      </w:r>
    </w:p>
    <w:p w:rsidR="00000000" w:rsidDel="00000000" w:rsidP="00000000" w:rsidRDefault="00000000" w:rsidRPr="00000000" w14:paraId="0000002D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الاشتراك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بالنشرات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الإخبارية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إنشاء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تقديم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طلب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والمشاركة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استطلاعات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رضا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كتابة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رسالة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خدمة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الدردشة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الاتصال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الهاتف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يجوز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المراسلات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لمتابعة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علاقتها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أفضل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وتحسين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خدماتها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إبداء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رأيك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المحتوى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الاشتراك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أنشطة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خاصة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المسابقات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القرعة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39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مشاركة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وسائل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التواصل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إنستغرام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وفيسبوك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وبينترست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وتويتر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هاشتاغ</w:t>
      </w:r>
      <w:r w:rsidDel="00000000" w:rsidR="00000000" w:rsidRPr="00000000">
        <w:rPr>
          <w:sz w:val="26"/>
          <w:szCs w:val="26"/>
          <w:rtl w:val="1"/>
        </w:rPr>
        <w:t xml:space="preserve"> #</w:t>
      </w:r>
      <w:r w:rsidDel="00000000" w:rsidR="00000000" w:rsidRPr="00000000">
        <w:rPr>
          <w:sz w:val="26"/>
          <w:szCs w:val="26"/>
          <w:rtl w:val="0"/>
        </w:rPr>
        <w:t xml:space="preserve">sisley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هاشتاغ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تعرضها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كيف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يجرى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تشاركه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وسائل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التواصل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الهاشتاغ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نعرضها</w:t>
      </w:r>
      <w:r w:rsidDel="00000000" w:rsidR="00000000" w:rsidRPr="00000000">
        <w:rPr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3D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يمكنك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اختيار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الهاشتاغ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نعرضها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لوسم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محتواك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وسائل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التواصل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إنستغرام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فيسبوك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بينترست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تويتر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هاشتاغ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المذكورة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تقر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ظهور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محتواك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موقعنا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للربط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منتجاتنا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خدماتنا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نذكرك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تضعها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مواقع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التواصل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ّ </w:t>
      </w:r>
      <w:r w:rsidDel="00000000" w:rsidR="00000000" w:rsidRPr="00000000">
        <w:rPr>
          <w:sz w:val="26"/>
          <w:szCs w:val="26"/>
          <w:rtl w:val="1"/>
        </w:rPr>
        <w:t xml:space="preserve">شخص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أنحاء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العالم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يط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لع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ويستخدمها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ويحفظها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البلدان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تتمتع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بقوانين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تضمن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الكافية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كما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عر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دولة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إقامتك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ن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لفت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أيضا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انتباهك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الأمر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عندما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رسل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إحدى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هاشتاغ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إلينا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يخضع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لشبكات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التواصل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حصري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بتلك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الشبكات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ندعوك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الاطلاع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والرجوع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دوري</w:t>
      </w:r>
      <w:r w:rsidDel="00000000" w:rsidR="00000000" w:rsidRPr="00000000">
        <w:rPr>
          <w:sz w:val="26"/>
          <w:szCs w:val="26"/>
          <w:rtl w:val="1"/>
        </w:rPr>
        <w:t xml:space="preserve">. </w:t>
      </w:r>
    </w:p>
    <w:p w:rsidR="00000000" w:rsidDel="00000000" w:rsidP="00000000" w:rsidRDefault="00000000" w:rsidRPr="00000000" w14:paraId="0000003F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يظهر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يعود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موقعنا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رجى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إزالته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التواصل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التوقف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هاشتاغ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ممارسة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حقك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للمادة</w:t>
      </w:r>
      <w:r w:rsidDel="00000000" w:rsidR="00000000" w:rsidRPr="00000000">
        <w:rPr>
          <w:sz w:val="26"/>
          <w:szCs w:val="26"/>
          <w:rtl w:val="1"/>
        </w:rPr>
        <w:t xml:space="preserve"> 9 </w:t>
      </w:r>
      <w:r w:rsidDel="00000000" w:rsidR="00000000" w:rsidRPr="00000000">
        <w:rPr>
          <w:sz w:val="26"/>
          <w:szCs w:val="26"/>
          <w:rtl w:val="1"/>
        </w:rPr>
        <w:t xml:space="preserve">عندما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تستطيع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إزالتها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الإشارة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الطابع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الإلزامي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الاختياري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برمز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النجمة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الرموز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الأغراض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45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تساعد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تخصيص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تجربة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التسوق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وتحسينها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باستمرار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وتهدف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تحقيق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الأغراض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التالية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47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وتعق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الطلبيات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العقد</w:t>
      </w:r>
      <w:r w:rsidDel="00000000" w:rsidR="00000000" w:rsidRPr="00000000">
        <w:rPr>
          <w:sz w:val="26"/>
          <w:szCs w:val="26"/>
          <w:rtl w:val="1"/>
        </w:rPr>
        <w:t xml:space="preserve">)، </w:t>
      </w:r>
      <w:r w:rsidDel="00000000" w:rsidR="00000000" w:rsidRPr="00000000">
        <w:rPr>
          <w:sz w:val="26"/>
          <w:szCs w:val="26"/>
          <w:rtl w:val="1"/>
        </w:rPr>
        <w:t xml:space="preserve">وعند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الاقتضاء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لمنع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ورصد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الاحتيال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الديون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المسددة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المصالح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المشروعة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49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وتعق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العلاقة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العقد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4B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آراء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والمنتجات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والمشتراة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المصالح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المشروعة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4D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وتعق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حسابات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العقد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4F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التسجيل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النشرة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الإخبارية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الرسائل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القصيرة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الموافقة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51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تنفيذ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أنشطة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تستهدف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الولاء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العقد</w:t>
      </w:r>
      <w:r w:rsidDel="00000000" w:rsidR="00000000" w:rsidRPr="00000000">
        <w:rPr>
          <w:sz w:val="26"/>
          <w:szCs w:val="26"/>
          <w:rtl w:val="1"/>
        </w:rPr>
        <w:t xml:space="preserve">)، </w:t>
      </w:r>
      <w:r w:rsidDel="00000000" w:rsidR="00000000" w:rsidRPr="00000000">
        <w:rPr>
          <w:sz w:val="26"/>
          <w:szCs w:val="26"/>
          <w:rtl w:val="1"/>
        </w:rPr>
        <w:t xml:space="preserve">وإيجاد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المحتملين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والأنشطة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الترويجية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الموافقة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وتخصيص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الاتصالات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المختلفة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الرقمية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والورقية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والرسائل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القصيرة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المصالح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المشروعة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53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تنفيذ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تسويقية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عبر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الهاتف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المصالح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المشروعة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55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إحصاءات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المبيعات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المصالح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المشروعة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57">
      <w:pPr>
        <w:bidi w:val="1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إدارة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الفئات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الرئيسية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الأساس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الموافقة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59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مدة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الاحتفاظ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بالبيانات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5B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بشكل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طوال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تمكنها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الامتثال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الالتزامات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القانونية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تتجاوز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إدارتها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الضرورية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لتحقيق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الأغراض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المحددة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قبل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5D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وبالتالي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5F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حفظ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تثبت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يحتفظ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للوفاء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بالتزام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قانوني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المصرفية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إتمام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المعاملة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حفظ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كدليل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توافق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خيار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بطاقات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الدفع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المحفوظة</w:t>
      </w:r>
      <w:r w:rsidDel="00000000" w:rsidR="00000000" w:rsidRPr="00000000">
        <w:rPr>
          <w:sz w:val="26"/>
          <w:szCs w:val="26"/>
          <w:rtl w:val="1"/>
        </w:rPr>
        <w:t xml:space="preserve">" </w:t>
      </w:r>
      <w:r w:rsidDel="00000000" w:rsidR="00000000" w:rsidRPr="00000000">
        <w:rPr>
          <w:sz w:val="26"/>
          <w:szCs w:val="26"/>
          <w:rtl w:val="1"/>
        </w:rPr>
        <w:t xml:space="preserve">لحفظ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المصرفية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بطريقة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آمنة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ومشفرة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وفي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الأحوال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الاحتفاظ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أبدا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برمز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الأمان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ببطاقتك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الائتمانية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حفظ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المتعلقة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بوثائق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الهوية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الخاصة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واحد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يتعلق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تصحيحها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تقييد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محوها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إمكانية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نقلها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الاعتراض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5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مجموعة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عالمية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مقرها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فرنسا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ولأسباب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تشغيلية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وتقنية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نلفت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انتباهك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حفظ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ثلاث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سنوات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بدءا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آخر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اتصال</w:t>
      </w:r>
      <w:r w:rsidDel="00000000" w:rsidR="00000000" w:rsidRPr="00000000">
        <w:rPr>
          <w:sz w:val="26"/>
          <w:szCs w:val="26"/>
          <w:rtl w:val="1"/>
        </w:rPr>
        <w:t xml:space="preserve"> / </w:t>
      </w:r>
      <w:r w:rsidDel="00000000" w:rsidR="00000000" w:rsidRPr="00000000">
        <w:rPr>
          <w:sz w:val="26"/>
          <w:szCs w:val="26"/>
          <w:rtl w:val="1"/>
        </w:rPr>
        <w:t xml:space="preserve">معاملة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تعترض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تطلب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حذفها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7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انتهاء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فترة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الثلاث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سنوات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المذكورة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نعيد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الاتصال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لمعرفة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ترغب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مواصلة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استلام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العروض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التجارية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إذا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تقدم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إجابة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صريحة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إيجابية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فسيجرى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إزالة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تعر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أرشفتها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للأحكام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9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إلى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من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ُ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رسل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6B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يجوز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إرسال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إف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إي</w:t>
      </w:r>
      <w:r w:rsidDel="00000000" w:rsidR="00000000" w:rsidRPr="00000000">
        <w:rPr>
          <w:sz w:val="26"/>
          <w:szCs w:val="26"/>
          <w:rtl w:val="1"/>
        </w:rPr>
        <w:t xml:space="preserve">.</w:t>
      </w:r>
      <w:r w:rsidDel="00000000" w:rsidR="00000000" w:rsidRPr="00000000">
        <w:rPr>
          <w:sz w:val="26"/>
          <w:szCs w:val="26"/>
          <w:rtl w:val="1"/>
        </w:rPr>
        <w:t xml:space="preserve">بي</w:t>
      </w:r>
      <w:r w:rsidDel="00000000" w:rsidR="00000000" w:rsidRPr="00000000">
        <w:rPr>
          <w:sz w:val="26"/>
          <w:szCs w:val="26"/>
          <w:rtl w:val="1"/>
        </w:rPr>
        <w:t xml:space="preserve">.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(</w:t>
      </w:r>
      <w:r w:rsidDel="00000000" w:rsidR="00000000" w:rsidRPr="00000000">
        <w:rPr>
          <w:sz w:val="26"/>
          <w:szCs w:val="26"/>
          <w:rtl w:val="1"/>
        </w:rPr>
        <w:t xml:space="preserve">فرنسا</w:t>
      </w:r>
      <w:r w:rsidDel="00000000" w:rsidR="00000000" w:rsidRPr="00000000">
        <w:rPr>
          <w:sz w:val="26"/>
          <w:szCs w:val="26"/>
          <w:rtl w:val="1"/>
        </w:rPr>
        <w:t xml:space="preserve">) </w:t>
      </w:r>
      <w:r w:rsidDel="00000000" w:rsidR="00000000" w:rsidRPr="00000000">
        <w:rPr>
          <w:sz w:val="26"/>
          <w:szCs w:val="26"/>
          <w:rtl w:val="1"/>
        </w:rPr>
        <w:t xml:space="preserve">ومقدمي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الذين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اختيارهم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بسبب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خبراتهم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ونيابة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لتحقيق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الأغراض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تحددها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الدفع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التوصيل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التسويق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مزودي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خدمات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تكنولوجيا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D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الأحيان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إرسال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شركاء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لأغراض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استخدامها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للشبكات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الاجتماعية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6F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تبيع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شخص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تحت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ظرف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الظروف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1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طلب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السلطات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تضطر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إرسال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للوائح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3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هو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مستوى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سرية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وأمن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75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لأفضل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الممارسات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المتبعة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حتى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تاريخه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تتخذ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التدابير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التقنية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والتنظيمية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المناسبة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يتعلق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بطبيعة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وبالمخاطر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تنطوي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عليها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بهدف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المحافظة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درجات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والسرية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الخصوص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لمنع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تشويهها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تضررها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أطراف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مفوضين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إليها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7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تتضمن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التدابير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سبيل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المثال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الحصر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المحدود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ووضع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شروط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تعاقدية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الاستعانة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بمقدمي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الخدمات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والتدابير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الأمنية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مثل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الآمن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وبرامج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مكافحة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الفيروسات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وعملية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تأكيد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الهوية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وجدران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الحماية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9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رغم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الإجراءات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المتصلة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بالسرية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تنفذها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نلفت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انتباهك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الاتصال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طريق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الإنترنت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يكون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آمن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تماما</w:t>
      </w:r>
      <w:r w:rsidDel="00000000" w:rsidR="00000000" w:rsidRPr="00000000">
        <w:rPr>
          <w:sz w:val="26"/>
          <w:szCs w:val="26"/>
          <w:rtl w:val="1"/>
        </w:rPr>
        <w:t xml:space="preserve">ً. </w:t>
      </w:r>
      <w:r w:rsidDel="00000000" w:rsidR="00000000" w:rsidRPr="00000000">
        <w:rPr>
          <w:sz w:val="26"/>
          <w:szCs w:val="26"/>
          <w:rtl w:val="1"/>
        </w:rPr>
        <w:t xml:space="preserve">لذلك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تتحمل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مسؤولية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وقوع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أعطال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الاتصال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ظروف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غير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متوقعة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B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الحماية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المتوفرة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عند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نقل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خارج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دولة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الإمارات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7D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مكن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خارج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الإمارات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العربية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المتحدة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بما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البلدان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توفر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مستوى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كاف</w:t>
      </w:r>
      <w:r w:rsidDel="00000000" w:rsidR="00000000" w:rsidRPr="00000000">
        <w:rPr>
          <w:sz w:val="26"/>
          <w:szCs w:val="26"/>
          <w:rtl w:val="1"/>
        </w:rPr>
        <w:t xml:space="preserve">ٍ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للأغراض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حددتها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7F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قبل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هذه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البلدان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ستتخذ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سيسلي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جميع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الخطوات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الممكنة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للحصول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الضمانات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اللازمة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81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السياسة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المعتمدة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بخصوص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ملفات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تعريف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الارتباط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83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لمعرفة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المزيد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سياستنا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المعتمدة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بخصوص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ملفات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تعريف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الارتباط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يرجى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زيارة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ملفات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تعريف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الارتباط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لدينا</w:t>
      </w:r>
      <w:r w:rsidDel="00000000" w:rsidR="00000000" w:rsidRPr="00000000">
        <w:rPr>
          <w:sz w:val="26"/>
          <w:szCs w:val="26"/>
          <w:rtl w:val="1"/>
        </w:rPr>
        <w:t xml:space="preserve">: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Cookies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bidi w:val="1"/>
        <w:ind w:left="360" w:hanging="360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ما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هي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حقوقك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؟</w:t>
      </w:r>
    </w:p>
    <w:p w:rsidR="00000000" w:rsidDel="00000000" w:rsidP="00000000" w:rsidRDefault="00000000" w:rsidRPr="00000000" w14:paraId="00000087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وفقا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للقوانين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السارية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بشأن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حماية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الوصول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البيانات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تصحيحها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محوها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نقلها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تقييدها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الاعتراض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الشخصية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وإبلاغنا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بتعليماتك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المتعلقة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بمصير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بياناتك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وفاتك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بإرسال</w:t>
      </w:r>
      <w:r w:rsidDel="00000000" w:rsidR="00000000" w:rsidRPr="00000000">
        <w:rPr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89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1"/>
          <w:numId w:val="4"/>
        </w:numPr>
        <w:bidi w:val="1"/>
        <w:ind w:left="720" w:hanging="36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رسالة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بالبريد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خلال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قسم</w:t>
      </w:r>
      <w:r w:rsidDel="00000000" w:rsidR="00000000" w:rsidRPr="00000000">
        <w:rPr>
          <w:sz w:val="26"/>
          <w:szCs w:val="26"/>
          <w:rtl w:val="1"/>
        </w:rPr>
        <w:t xml:space="preserve"> "</w:t>
      </w:r>
      <w:r w:rsidDel="00000000" w:rsidR="00000000" w:rsidRPr="00000000">
        <w:rPr>
          <w:sz w:val="26"/>
          <w:szCs w:val="26"/>
          <w:rtl w:val="1"/>
        </w:rPr>
        <w:t xml:space="preserve">الاتصال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بنا</w:t>
      </w:r>
      <w:r w:rsidDel="00000000" w:rsidR="00000000" w:rsidRPr="00000000">
        <w:rPr>
          <w:sz w:val="26"/>
          <w:szCs w:val="26"/>
          <w:rtl w:val="1"/>
        </w:rPr>
        <w:t xml:space="preserve">"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الموقع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الإلكتروني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8B">
      <w:pPr>
        <w:bidi w:val="1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ind w:left="36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عندما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تستند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موافقتك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يحق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أيضا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سحب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الموافقة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وقت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المساس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بقانونية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المعالجة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المنفذة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بناء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تلك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الموافقة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قبل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سحبها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sectPr>
      <w:pgSz w:h="15840" w:w="12240" w:orient="portrait"/>
      <w:pgMar w:bottom="3119" w:top="255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tabs>
        <w:tab w:val="left" w:leader="none" w:pos="426"/>
      </w:tabs>
      <w:spacing w:before="240" w:lineRule="auto"/>
      <w:ind w:left="720" w:hanging="720"/>
      <w:jc w:val="both"/>
    </w:pPr>
    <w:rPr>
      <w:rFonts w:ascii="Arial Narrow" w:cs="Arial Narrow" w:eastAsia="Arial Narrow" w:hAnsi="Arial Narrow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tabs>
        <w:tab w:val="left" w:leader="none" w:pos="426"/>
      </w:tabs>
      <w:spacing w:before="120" w:lineRule="auto"/>
      <w:ind w:left="1440" w:hanging="720"/>
      <w:jc w:val="both"/>
    </w:pPr>
    <w:rPr>
      <w:rFonts w:ascii="Arial Narrow" w:cs="Arial Narrow" w:eastAsia="Arial Narrow" w:hAnsi="Arial Narrow"/>
      <w:sz w:val="18"/>
      <w:szCs w:val="18"/>
      <w:u w:val="single"/>
    </w:rPr>
  </w:style>
  <w:style w:type="paragraph" w:styleId="Heading3">
    <w:name w:val="heading 3"/>
    <w:basedOn w:val="Normal"/>
    <w:next w:val="Normal"/>
    <w:pPr>
      <w:tabs>
        <w:tab w:val="left" w:leader="none" w:pos="426"/>
      </w:tabs>
      <w:spacing w:before="120" w:lineRule="auto"/>
      <w:ind w:left="0" w:firstLine="0"/>
      <w:jc w:val="both"/>
    </w:pPr>
    <w:rPr>
      <w:rFonts w:ascii="Arial Narrow" w:cs="Arial Narrow" w:eastAsia="Arial Narrow" w:hAnsi="Arial Narrow"/>
      <w:i w:val="1"/>
      <w:iCs w:val="1"/>
      <w:sz w:val="18"/>
      <w:szCs w:val="18"/>
      <w:u w:val="no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3600" w:hanging="720"/>
      <w:jc w:val="both"/>
    </w:pPr>
    <w:rPr>
      <w:rFonts w:ascii="Cambria" w:cs="Cambria" w:eastAsia="Cambria" w:hAnsi="Cambria"/>
      <w:color w:val="243f61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4320" w:hanging="720"/>
      <w:jc w:val="both"/>
    </w:pPr>
    <w:rPr>
      <w:rFonts w:ascii="Cambria" w:cs="Cambria" w:eastAsia="Cambria" w:hAnsi="Cambria"/>
      <w:i w:val="1"/>
      <w:iCs w:val="1"/>
      <w:color w:val="243f6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2D3F72"/>
    <w:pPr>
      <w:keepNext w:val="1"/>
      <w:keepLines w:val="1"/>
      <w:numPr>
        <w:ilvl w:val="6"/>
        <w:numId w:val="2"/>
      </w:numPr>
      <w:spacing w:before="20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2D3F72"/>
    <w:pPr>
      <w:keepNext w:val="1"/>
      <w:keepLines w:val="1"/>
      <w:numPr>
        <w:ilvl w:val="7"/>
        <w:numId w:val="2"/>
      </w:numPr>
      <w:spacing w:before="200"/>
      <w:jc w:val="both"/>
      <w:outlineLvl w:val="7"/>
    </w:pPr>
    <w:rPr>
      <w:rFonts w:asciiTheme="majorHAnsi" w:cstheme="majorBidi" w:eastAsiaTheme="majorEastAsia" w:hAnsiTheme="majorHAnsi"/>
      <w:color w:val="404040" w:themeColor="text1" w:themeTint="0000BF"/>
      <w:sz w:val="18"/>
      <w:szCs w:val="20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2D3F72"/>
    <w:pPr>
      <w:keepNext w:val="1"/>
      <w:keepLines w:val="1"/>
      <w:numPr>
        <w:ilvl w:val="8"/>
        <w:numId w:val="2"/>
      </w:numPr>
      <w:spacing w:before="20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Policepardfaut"/>
    <w:link w:val="Titre1"/>
    <w:uiPriority w:val="9"/>
    <w:rsid w:val="002D3F72"/>
    <w:rPr>
      <w:rFonts w:ascii="Arial Narrow" w:hAnsi="Arial Narrow"/>
      <w:b w:val="1"/>
      <w:sz w:val="18"/>
      <w:szCs w:val="20"/>
      <w:lang w:eastAsia="fr-FR" w:val="en-US"/>
    </w:rPr>
  </w:style>
  <w:style w:type="character" w:styleId="Titre2Car" w:customStyle="1">
    <w:name w:val="Titre 2 Car"/>
    <w:basedOn w:val="Policepardfaut"/>
    <w:link w:val="Titre2"/>
    <w:uiPriority w:val="9"/>
    <w:rsid w:val="002D3F72"/>
    <w:rPr>
      <w:rFonts w:ascii="Arial Narrow" w:hAnsi="Arial Narrow"/>
      <w:sz w:val="18"/>
      <w:szCs w:val="18"/>
      <w:u w:val="single"/>
      <w:lang w:eastAsia="fr-FR" w:val="en-US"/>
    </w:rPr>
  </w:style>
  <w:style w:type="character" w:styleId="Titre3Car" w:customStyle="1">
    <w:name w:val="Titre 3 Car"/>
    <w:basedOn w:val="Policepardfaut"/>
    <w:link w:val="Titre3"/>
    <w:uiPriority w:val="9"/>
    <w:rsid w:val="002D3F72"/>
    <w:rPr>
      <w:rFonts w:ascii="Arial Narrow" w:hAnsi="Arial Narrow"/>
      <w:i w:val="1"/>
      <w:sz w:val="18"/>
      <w:szCs w:val="18"/>
      <w:lang w:eastAsia="fr-FR" w:val="en-US"/>
    </w:rPr>
  </w:style>
  <w:style w:type="character" w:styleId="Titre5Car" w:customStyle="1">
    <w:name w:val="Titre 5 Car"/>
    <w:basedOn w:val="Policepardfaut"/>
    <w:link w:val="Titre5"/>
    <w:uiPriority w:val="9"/>
    <w:rsid w:val="002D3F72"/>
    <w:rPr>
      <w:rFonts w:asciiTheme="majorHAnsi" w:cstheme="majorBidi" w:eastAsiaTheme="majorEastAsia" w:hAnsiTheme="majorHAnsi"/>
      <w:color w:val="243f60" w:themeColor="accent1" w:themeShade="00007F"/>
      <w:sz w:val="18"/>
      <w:szCs w:val="18"/>
      <w:lang w:eastAsia="fr-FR" w:val="en-US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2D3F72"/>
    <w:rPr>
      <w:rFonts w:asciiTheme="majorHAnsi" w:cstheme="majorBidi" w:eastAsiaTheme="majorEastAsia" w:hAnsiTheme="majorHAnsi"/>
      <w:i w:val="1"/>
      <w:iCs w:val="1"/>
      <w:color w:val="243f60" w:themeColor="accent1" w:themeShade="00007F"/>
      <w:sz w:val="18"/>
      <w:szCs w:val="18"/>
      <w:lang w:eastAsia="fr-FR" w:val="en-US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2D3F72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18"/>
      <w:lang w:eastAsia="fr-FR" w:val="en-US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2D3F72"/>
    <w:rPr>
      <w:rFonts w:asciiTheme="majorHAnsi" w:cstheme="majorBidi" w:eastAsiaTheme="majorEastAsia" w:hAnsiTheme="majorHAnsi"/>
      <w:color w:val="404040" w:themeColor="text1" w:themeTint="0000BF"/>
      <w:sz w:val="18"/>
      <w:szCs w:val="20"/>
      <w:lang w:eastAsia="fr-FR" w:val="en-US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2D3F72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18"/>
      <w:szCs w:val="20"/>
      <w:lang w:eastAsia="fr-FR" w:val="en-US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enhypertexte">
    <w:name w:val="Hyperlink"/>
    <w:basedOn w:val="Policepardfaut"/>
    <w:uiPriority w:val="99"/>
    <w:unhideWhenUsed w:val="1"/>
    <w:rsid w:val="00BC2C9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 w:val="1"/>
    <w:rsid w:val="00BC2C90"/>
    <w:pPr>
      <w:ind w:left="720"/>
    </w:pPr>
  </w:style>
  <w:style w:type="character" w:styleId="Marquedecommentaire">
    <w:name w:val="annotation reference"/>
    <w:basedOn w:val="Policepardfaut"/>
    <w:uiPriority w:val="99"/>
    <w:semiHidden w:val="1"/>
    <w:unhideWhenUsed w:val="1"/>
    <w:rsid w:val="00BC2C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 w:val="1"/>
    <w:rsid w:val="00BC2C90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BC2C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BC2C90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BC2C90"/>
    <w:rPr>
      <w:b w:val="1"/>
      <w:bCs w:val="1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BC2C90"/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BC2C90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D81B8B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Rvision">
    <w:name w:val="Revision"/>
    <w:hidden w:val="1"/>
    <w:uiPriority w:val="99"/>
    <w:semiHidden w:val="1"/>
    <w:rsid w:val="00706194"/>
  </w:style>
  <w:style w:type="character" w:styleId="UnresolvedMention1" w:customStyle="1">
    <w:name w:val="Unresolved Mention1"/>
    <w:basedOn w:val="Policepardfaut"/>
    <w:uiPriority w:val="99"/>
    <w:semiHidden w:val="1"/>
    <w:unhideWhenUsed w:val="1"/>
    <w:rsid w:val="00490229"/>
    <w:rPr>
      <w:color w:val="605e5c"/>
      <w:shd w:color="auto" w:fill="e1dfdd" w:val="clear"/>
    </w:rPr>
  </w:style>
  <w:style w:type="paragraph" w:styleId="En-tte">
    <w:name w:val="header"/>
    <w:basedOn w:val="Normal"/>
    <w:link w:val="En-tteCar"/>
    <w:uiPriority w:val="99"/>
    <w:unhideWhenUsed w:val="1"/>
    <w:rsid w:val="00FE12DB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lang w:eastAsia="en-US"/>
    </w:rPr>
  </w:style>
  <w:style w:type="character" w:styleId="En-tteCar" w:customStyle="1">
    <w:name w:val="En-tête Car"/>
    <w:basedOn w:val="Policepardfaut"/>
    <w:link w:val="En-tte"/>
    <w:uiPriority w:val="99"/>
    <w:rsid w:val="00FE12DB"/>
    <w:rPr>
      <w:rFonts w:asciiTheme="minorHAnsi" w:cstheme="minorBidi" w:eastAsiaTheme="minorHAnsi" w:hAnsi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 w:val="1"/>
    <w:rsid w:val="00FE12DB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lang w:eastAsia="en-US"/>
    </w:rPr>
  </w:style>
  <w:style w:type="character" w:styleId="PieddepageCar" w:customStyle="1">
    <w:name w:val="Pied de page Car"/>
    <w:basedOn w:val="Policepardfaut"/>
    <w:link w:val="Pieddepage"/>
    <w:uiPriority w:val="99"/>
    <w:rsid w:val="00FE12DB"/>
    <w:rPr>
      <w:rFonts w:asciiTheme="minorHAnsi" w:cstheme="minorBidi" w:eastAsiaTheme="minorHAnsi" w:hAnsiTheme="minorHAnsi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isley-paris.com/ar-MEA/%D8%A7%D8%B3%D8%AA%D8%AE%D8%AF%D8%A7%D9%85-%D9%85%D9%84%D9%81%D8%A7%D8%AA-%D8%AA%D8%B9%D8%B1%D9%8A%D9%81-%D8%A7%D9%84%D8%A7%D8%B1%D8%AA%D8%A8%D8%A7%D8%B7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2J3FGqOQGz7bWZA1Q0Bp9WcFQ==">CgMxLjAyDmguandhdDVwY3doa242OAByITFiQjZNM0VpMTBaOXFzcHZOWHgyS2lFeFhBSWdabV9XQw==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2022-05-17T12:44:00Z</dcterms:created>
  <dc:creator>Thi Diem Mi Nho</dc:creator>
</cp:coreProperties>
</file>