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120" w:line="240"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LEGAL NOTICE</w:t>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b w:val="1"/>
          <w:bCs w:val="1"/>
          <w:color w:val="000000"/>
          <w:sz w:val="20"/>
          <w:szCs w:val="20"/>
        </w:rPr>
      </w:pPr>
      <w:hyperlink r:id="rId7">
        <w:r w:rsidDel="00000000" w:rsidR="00000000" w:rsidRPr="00000000">
          <w:rPr>
            <w:rFonts w:ascii="Arial Narrow" w:cs="Arial Narrow" w:eastAsia="Arial Narrow" w:hAnsi="Arial Narrow"/>
            <w:b w:val="1"/>
            <w:bCs w:val="1"/>
            <w:color w:val="1155cc"/>
            <w:sz w:val="20"/>
            <w:szCs w:val="20"/>
            <w:u w:val="single"/>
            <w:rtl w:val="0"/>
          </w:rPr>
          <w:t xml:space="preserve">www.sisley-paris.com/en-MEA/</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1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May 2022</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Narrow" w:cs="Arial Narrow" w:eastAsia="Arial Narrow" w:hAnsi="Arial Narrow"/>
          <w:sz w:val="18"/>
          <w:szCs w:val="18"/>
        </w:rPr>
      </w:pPr>
      <w:bookmarkStart w:colFirst="0" w:colLast="0" w:name="_heading=h.wtcnxt3kt494" w:id="0"/>
      <w:bookmarkEnd w:id="0"/>
      <w:hyperlink r:id="rId8">
        <w:r w:rsidDel="00000000" w:rsidR="00000000" w:rsidRPr="00000000">
          <w:rPr>
            <w:rFonts w:ascii="Arial Narrow" w:cs="Arial Narrow" w:eastAsia="Arial Narrow" w:hAnsi="Arial Narrow"/>
            <w:color w:val="1155cc"/>
            <w:sz w:val="18"/>
            <w:szCs w:val="18"/>
            <w:u w:val="single"/>
            <w:rtl w:val="0"/>
          </w:rPr>
          <w:t xml:space="preserve">www.sisley-paris.com/en-MEA/</w:t>
        </w:r>
      </w:hyperlink>
      <w:r w:rsidDel="00000000" w:rsidR="00000000" w:rsidRPr="00000000">
        <w:rPr>
          <w:rFonts w:ascii="Arial Narrow" w:cs="Arial Narrow" w:eastAsia="Arial Narrow" w:hAnsi="Arial Narrow"/>
          <w:sz w:val="18"/>
          <w:szCs w:val="18"/>
          <w:rtl w:val="0"/>
        </w:rPr>
        <w:t xml:space="preserve"> (the “Website”) is a website belonging to SISLEY ORIENT FZCO, a Free Zone company with registered number DAFZ\1113 whose registered office is at Office B2-504  Dubai CommerCity, Umm Ramool Dubai, Dubai, United Arab Emirates, 293652 and with VAT registration number 100238950800003 (hereinafter “SISLEY”).</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2"/>
        <w:numPr>
          <w:ilvl w:val="1"/>
          <w:numId w:val="1"/>
        </w:numPr>
        <w:tabs>
          <w:tab w:val="left" w:leader="none" w:pos="426"/>
        </w:tabs>
        <w:spacing w:before="0" w:lineRule="auto"/>
        <w:ind w:left="1440" w:hanging="720"/>
        <w:rPr>
          <w:u w:val="none"/>
        </w:rPr>
      </w:pPr>
      <w:r w:rsidDel="00000000" w:rsidR="00000000" w:rsidRPr="00000000">
        <w:rPr>
          <w:color w:val="000000"/>
          <w:u w:val="none"/>
          <w:rtl w:val="0"/>
        </w:rPr>
        <w:t xml:space="preserve">The company in charge of hosting the Website is: SALESFORCE.COM EMEA LIMITED, </w:t>
      </w:r>
      <w:r w:rsidDel="00000000" w:rsidR="00000000" w:rsidRPr="00000000">
        <w:rPr>
          <w:u w:val="none"/>
          <w:rtl w:val="0"/>
        </w:rPr>
        <w:t xml:space="preserve">a company incorporated and registered in England and Wales with registered office at </w:t>
      </w:r>
      <w:r w:rsidDel="00000000" w:rsidR="00000000" w:rsidRPr="00000000">
        <w:rPr>
          <w:color w:val="000000"/>
          <w:u w:val="none"/>
          <w:rtl w:val="0"/>
        </w:rPr>
        <w:t xml:space="preserve">Floor 26 Salesforce Tower - 110 Bishopsgate, London EC2N 4AY, United Kingdom, the telephone number or which is +44 20 31 47 76 00</w:t>
      </w:r>
      <w:r w:rsidDel="00000000" w:rsidR="00000000" w:rsidRPr="00000000">
        <w:rPr>
          <w:u w:val="none"/>
          <w:rtl w:val="0"/>
        </w:rPr>
        <w:t xml:space="preserve">.</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pStyle w:val="Heading2"/>
        <w:numPr>
          <w:ilvl w:val="1"/>
          <w:numId w:val="1"/>
        </w:numPr>
        <w:tabs>
          <w:tab w:val="left" w:leader="none" w:pos="426"/>
        </w:tabs>
        <w:spacing w:before="0" w:lineRule="auto"/>
        <w:ind w:left="1440" w:hanging="720"/>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E">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not assume any liability due to difficulties accessing its Website or any communication failure.</w:t>
      </w:r>
    </w:p>
    <w:p w:rsidR="00000000" w:rsidDel="00000000" w:rsidP="00000000" w:rsidRDefault="00000000" w:rsidRPr="00000000" w14:paraId="0000000F">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uses its best efforts to ensure the reliability and accuracy of information provided on his Website. </w:t>
        <w:br w:type="textWrapping"/>
      </w:r>
    </w:p>
    <w:p w:rsidR="00000000" w:rsidDel="00000000" w:rsidP="00000000" w:rsidRDefault="00000000" w:rsidRPr="00000000" w14:paraId="00000011">
      <w:pPr>
        <w:spacing w:after="0" w:line="240" w:lineRule="auto"/>
        <w:jc w:val="both"/>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reserves the right to modify or correct the content of this Website at any time and without prior notice.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1a1a1a"/>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Arial Narrow" w:cs="Arial Narrow" w:eastAsia="Arial Narrow" w:hAnsi="Arial Narrow"/>
          <w:color w:val="1a1a1a"/>
          <w:sz w:val="18"/>
          <w:szCs w:val="18"/>
          <w:rtl w:val="0"/>
        </w:rPr>
        <w:t xml:space="preserve">This Legal Notice has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this Legal Notice and understands its content and that this Legal Notice has been entered into freely and without duress. You acknowledge that you fully understand the language and the content of this Legal Notice.</w:t>
      </w:r>
      <w:r w:rsidDel="00000000" w:rsidR="00000000" w:rsidRPr="00000000">
        <w:rPr>
          <w:rtl w:val="0"/>
        </w:rPr>
      </w:r>
    </w:p>
    <w:sectPr>
      <w:head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Narrow" w:cs="Arial Narrow" w:eastAsia="Arial Narrow" w:hAnsi="Arial Narrow"/>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rPr>
  </w:style>
  <w:style w:type="character" w:styleId="Lienhypertexte">
    <w:name w:val="Hyperlink"/>
    <w:basedOn w:val="Policepardfaut"/>
    <w:uiPriority w:val="99"/>
    <w:semiHidden w:val="1"/>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semiHidden w:val="1"/>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semiHidden w:val="1"/>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MEA/" TargetMode="External"/><Relationship Id="rId8" Type="http://schemas.openxmlformats.org/officeDocument/2006/relationships/hyperlink" Target="http://www.sisley-paris.com/en-M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QTLt7z+x2kI88tL6qnw/953+Q==">CgMxLjAyDmgud3Rjbnh0M2t0NDk0OAByITEzVXhfcEdOY2JISzMweENua3piRThWZHlRTDBPTjRORQ==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2022-05-17T10:40:00Z</dcterms:created>
  <dc:creator>Florence Rivat</dc:creator>
</cp:coreProperties>
</file>